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36C6B4">
      <w:pP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>附件：</w:t>
      </w:r>
    </w:p>
    <w:p w14:paraId="36752084"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上海市荣誉军人总医院就医流程指南</w:t>
      </w:r>
    </w:p>
    <w:p w14:paraId="6D6289AC"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</w:p>
    <w:p w14:paraId="7D4BA855">
      <w:pPr>
        <w:pStyle w:val="2"/>
        <w:widowControl/>
        <w:numPr>
          <w:ilvl w:val="0"/>
          <w:numId w:val="1"/>
        </w:numPr>
        <w:spacing w:before="75" w:beforeAutospacing="0" w:afterAutospacing="0"/>
        <w:ind w:firstLine="560" w:firstLineChars="200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优待对象</w:t>
      </w:r>
    </w:p>
    <w:p w14:paraId="29C3AB67">
      <w:pPr>
        <w:pStyle w:val="2"/>
        <w:widowControl/>
        <w:spacing w:before="75" w:beforeAutospacing="0" w:afterAutospacing="0"/>
        <w:ind w:firstLine="600" w:firstLineChars="200"/>
        <w:rPr>
          <w:rFonts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军人、退役军人及其他优抚对象，凭军官证、军士证、义务兵证等有效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>军人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证件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>以及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《中华人民共和国残疾军人证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eastAsia="zh-CN"/>
        </w:rPr>
        <w:t>》《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中华人民共和国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>退役军人优待证》《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中华人民共和国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>烈士遗属、因公牺牲军人遗属、病故军人遗属优待证》《上海市重点优抚对象医疗优待证》等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证件享受相应优待。</w:t>
      </w:r>
    </w:p>
    <w:p w14:paraId="482F4AD1">
      <w:pPr>
        <w:keepNext w:val="0"/>
        <w:keepLines w:val="0"/>
        <w:widowControl/>
        <w:suppressLineNumbers w:val="0"/>
        <w:ind w:firstLine="600" w:firstLineChars="200"/>
        <w:jc w:val="left"/>
        <w:rPr>
          <w:rFonts w:hint="default" w:ascii="方正仿宋_GB2312" w:hAnsi="方正仿宋_GB2312" w:eastAsia="方正仿宋_GB2312" w:cs="方正仿宋_GB2312"/>
          <w:sz w:val="30"/>
          <w:szCs w:val="30"/>
          <w:lang w:val="en-US" w:eastAsia="zh-CN"/>
        </w:rPr>
      </w:pPr>
    </w:p>
    <w:p w14:paraId="7FA5F3F3">
      <w:pPr>
        <w:pStyle w:val="2"/>
        <w:widowControl/>
        <w:spacing w:before="75" w:beforeAutospacing="0" w:afterAutospacing="0"/>
        <w:ind w:firstLine="480" w:firstLineChars="200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drawing>
          <wp:inline distT="0" distB="0" distL="114300" distR="114300">
            <wp:extent cx="2385060" cy="36017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3C382">
      <w:pPr>
        <w:numPr>
          <w:ilvl w:val="0"/>
          <w:numId w:val="1"/>
        </w:numPr>
        <w:ind w:left="0" w:leftChars="0" w:firstLine="560" w:firstLineChars="200"/>
        <w:rPr>
          <w:rFonts w:hint="eastAsia" w:ascii="黑体" w:hAnsi="黑体" w:eastAsia="黑体" w:cs="黑体"/>
          <w:sz w:val="30"/>
          <w:szCs w:val="30"/>
          <w:highlight w:val="none"/>
        </w:rPr>
      </w:pPr>
      <w:r>
        <w:rPr>
          <w:rFonts w:hint="eastAsia" w:ascii="黑体" w:hAnsi="黑体" w:eastAsia="黑体" w:cs="黑体"/>
          <w:sz w:val="28"/>
          <w:szCs w:val="28"/>
        </w:rPr>
        <w:t>优待内容</w:t>
      </w:r>
      <w:r>
        <w:rPr>
          <w:rFonts w:hint="eastAsia" w:ascii="黑体" w:hAnsi="黑体" w:eastAsia="黑体" w:cs="黑体"/>
          <w:sz w:val="28"/>
          <w:szCs w:val="28"/>
          <w:lang w:eastAsia="zh-CN"/>
        </w:rPr>
        <w:t>（</w:t>
      </w:r>
      <w:r>
        <w:rPr>
          <w:rFonts w:hint="eastAsia" w:ascii="黑体" w:hAnsi="黑体" w:eastAsia="黑体" w:cs="黑体"/>
          <w:sz w:val="30"/>
          <w:szCs w:val="30"/>
          <w:highlight w:val="none"/>
        </w:rPr>
        <w:t>“三优”机制</w:t>
      </w:r>
      <w:r>
        <w:rPr>
          <w:rFonts w:hint="eastAsia" w:ascii="黑体" w:hAnsi="黑体" w:eastAsia="黑体" w:cs="黑体"/>
          <w:sz w:val="30"/>
          <w:szCs w:val="30"/>
          <w:highlight w:val="none"/>
          <w:lang w:eastAsia="zh-CN"/>
        </w:rPr>
        <w:t>）</w:t>
      </w:r>
    </w:p>
    <w:p w14:paraId="3FFA5AA0">
      <w:pPr>
        <w:ind w:firstLine="602" w:firstLineChars="200"/>
        <w:rPr>
          <w:rFonts w:hint="eastAsia" w:ascii="方正仿宋_GB2312" w:hAnsi="方正仿宋_GB2312" w:eastAsia="方正仿宋_GB2312" w:cs="方正仿宋_GB2312"/>
          <w:b/>
          <w:bCs/>
          <w:sz w:val="30"/>
          <w:szCs w:val="30"/>
          <w:highlight w:val="none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0"/>
          <w:szCs w:val="30"/>
          <w:highlight w:val="none"/>
          <w:lang w:val="en-US" w:eastAsia="zh-CN"/>
        </w:rPr>
        <w:t>a</w:t>
      </w:r>
      <w:r>
        <w:rPr>
          <w:rFonts w:hint="default" w:ascii="方正仿宋_GB2312" w:hAnsi="方正仿宋_GB2312" w:eastAsia="方正仿宋_GB2312" w:cs="方正仿宋_GB2312"/>
          <w:b/>
          <w:bCs/>
          <w:sz w:val="30"/>
          <w:szCs w:val="30"/>
          <w:highlight w:val="none"/>
          <w:lang w:val="en-US" w:eastAsia="zh-CN"/>
        </w:rPr>
        <w:t>.</w:t>
      </w:r>
      <w:r>
        <w:rPr>
          <w:rFonts w:hint="eastAsia" w:ascii="方正仿宋_GB2312" w:hAnsi="方正仿宋_GB2312" w:eastAsia="方正仿宋_GB2312" w:cs="方正仿宋_GB2312"/>
          <w:b/>
          <w:bCs/>
          <w:sz w:val="30"/>
          <w:szCs w:val="30"/>
          <w:highlight w:val="none"/>
        </w:rPr>
        <w:t>“优先机制”</w:t>
      </w:r>
    </w:p>
    <w:p w14:paraId="3B416173">
      <w:pPr>
        <w:ind w:firstLine="600" w:firstLineChars="200"/>
        <w:rPr>
          <w:rFonts w:hint="eastAsia" w:ascii="方正仿宋_GB2312" w:hAnsi="方正仿宋_GB2312" w:eastAsia="方正仿宋_GB2312" w:cs="方正仿宋_GB2312"/>
          <w:sz w:val="30"/>
          <w:szCs w:val="30"/>
          <w:highlight w:val="none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  <w:highlight w:val="none"/>
        </w:rPr>
        <w:t>优先挂号:设立财务专窗</w:t>
      </w:r>
    </w:p>
    <w:p w14:paraId="77F72904">
      <w:pPr>
        <w:ind w:firstLine="600" w:firstLineChars="200"/>
        <w:rPr>
          <w:rFonts w:hint="eastAsia" w:ascii="方正仿宋_GB2312" w:hAnsi="方正仿宋_GB2312" w:eastAsia="方正仿宋_GB2312" w:cs="方正仿宋_GB2312"/>
          <w:sz w:val="30"/>
          <w:szCs w:val="30"/>
          <w:highlight w:val="none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  <w:highlight w:val="none"/>
        </w:rPr>
        <w:t>保障号源:普通门诊确保当日就诊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highlight w:val="none"/>
          <w:lang w:eastAsia="zh-CN"/>
        </w:rPr>
        <w:t>，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highlight w:val="none"/>
        </w:rPr>
        <w:t>专家门诊力争当日就诊或优先预约</w:t>
      </w:r>
    </w:p>
    <w:p w14:paraId="2F2895A4">
      <w:pPr>
        <w:ind w:firstLine="600" w:firstLineChars="200"/>
        <w:rPr>
          <w:rFonts w:hint="eastAsia" w:ascii="方正仿宋_GB2312" w:hAnsi="方正仿宋_GB2312" w:eastAsia="方正仿宋_GB2312" w:cs="方正仿宋_GB2312"/>
          <w:sz w:val="30"/>
          <w:szCs w:val="30"/>
          <w:highlight w:val="none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  <w:highlight w:val="none"/>
        </w:rPr>
        <w:t>优先就诊:到咨询台由工作人员给予优先到当前就诊第3位(无"军人标识"者需出示相关有效证件)</w:t>
      </w:r>
    </w:p>
    <w:p w14:paraId="315FDC1E">
      <w:pPr>
        <w:ind w:firstLine="600" w:firstLineChars="200"/>
        <w:rPr>
          <w:rFonts w:hint="eastAsia" w:ascii="方正仿宋_GB2312" w:hAnsi="方正仿宋_GB2312" w:eastAsia="方正仿宋_GB2312" w:cs="方正仿宋_GB2312"/>
          <w:sz w:val="30"/>
          <w:szCs w:val="30"/>
          <w:highlight w:val="none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  <w:highlight w:val="none"/>
        </w:rPr>
        <w:t>优先检查:到服务台由工作人员给予优先到当前就诊第3位(无"军人标识"者需出示相关有效证件)</w:t>
      </w:r>
    </w:p>
    <w:p w14:paraId="10471909">
      <w:pPr>
        <w:ind w:firstLine="600" w:firstLineChars="200"/>
        <w:rPr>
          <w:rFonts w:hint="eastAsia" w:ascii="方正仿宋_GB2312" w:hAnsi="方正仿宋_GB2312" w:eastAsia="方正仿宋_GB2312" w:cs="方正仿宋_GB2312"/>
          <w:sz w:val="30"/>
          <w:szCs w:val="30"/>
          <w:highlight w:val="none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  <w:highlight w:val="none"/>
        </w:rPr>
        <w:t>优先收费:设立财务专窗</w:t>
      </w:r>
    </w:p>
    <w:p w14:paraId="424B6A3C">
      <w:pPr>
        <w:ind w:firstLine="600" w:firstLineChars="200"/>
        <w:rPr>
          <w:rFonts w:hint="eastAsia" w:ascii="方正仿宋_GB2312" w:hAnsi="方正仿宋_GB2312" w:eastAsia="方正仿宋_GB2312" w:cs="方正仿宋_GB2312"/>
          <w:sz w:val="30"/>
          <w:szCs w:val="30"/>
          <w:highlight w:val="none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  <w:highlight w:val="none"/>
        </w:rPr>
        <w:t>优先取药:设立药房专窗</w:t>
      </w:r>
    </w:p>
    <w:p w14:paraId="0ADB48BC">
      <w:pPr>
        <w:ind w:firstLine="600" w:firstLineChars="200"/>
        <w:rPr>
          <w:rFonts w:hint="eastAsia" w:ascii="方正仿宋_GB2312" w:hAnsi="方正仿宋_GB2312" w:eastAsia="方正仿宋_GB2312" w:cs="方正仿宋_GB2312"/>
          <w:sz w:val="30"/>
          <w:szCs w:val="30"/>
          <w:highlight w:val="none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  <w:highlight w:val="none"/>
        </w:rPr>
        <w:t>优先住院:医务协调</w:t>
      </w:r>
    </w:p>
    <w:p w14:paraId="48440A4F">
      <w:pPr>
        <w:ind w:firstLine="602" w:firstLineChars="200"/>
        <w:rPr>
          <w:rFonts w:hint="eastAsia" w:ascii="方正仿宋_GB2312" w:hAnsi="方正仿宋_GB2312" w:eastAsia="方正仿宋_GB2312" w:cs="方正仿宋_GB2312"/>
          <w:b/>
          <w:bCs/>
          <w:sz w:val="30"/>
          <w:szCs w:val="30"/>
          <w:highlight w:val="none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0"/>
          <w:szCs w:val="30"/>
          <w:highlight w:val="none"/>
          <w:lang w:val="en-US" w:eastAsia="zh-CN"/>
        </w:rPr>
        <w:t>b.</w:t>
      </w:r>
      <w:r>
        <w:rPr>
          <w:rFonts w:hint="eastAsia" w:ascii="方正仿宋_GB2312" w:hAnsi="方正仿宋_GB2312" w:eastAsia="方正仿宋_GB2312" w:cs="方正仿宋_GB2312"/>
          <w:b/>
          <w:bCs/>
          <w:sz w:val="30"/>
          <w:szCs w:val="30"/>
          <w:highlight w:val="none"/>
        </w:rPr>
        <w:t>“优惠机制”</w:t>
      </w:r>
    </w:p>
    <w:p w14:paraId="328D5BF3">
      <w:pPr>
        <w:ind w:firstLine="600" w:firstLineChars="200"/>
        <w:rPr>
          <w:rFonts w:hint="eastAsia" w:ascii="方正仿宋_GB2312" w:hAnsi="方正仿宋_GB2312" w:eastAsia="方正仿宋_GB2312" w:cs="方正仿宋_GB2312"/>
          <w:sz w:val="30"/>
          <w:szCs w:val="30"/>
          <w:highlight w:val="none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  <w:highlight w:val="none"/>
        </w:rPr>
        <w:t>持有效证件至人工窗口挂普通门诊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highlight w:val="none"/>
          <w:lang w:val="en-US" w:eastAsia="zh-CN"/>
        </w:rPr>
        <w:t>费部分减免</w:t>
      </w:r>
      <w:r>
        <w:rPr>
          <w:rFonts w:hint="eastAsia" w:ascii="方正仿宋_GB2312" w:hAnsi="方正仿宋_GB2312" w:eastAsia="方正仿宋_GB2312" w:cs="方正仿宋_GB2312"/>
          <w:sz w:val="30"/>
          <w:szCs w:val="30"/>
          <w:highlight w:val="none"/>
        </w:rPr>
        <w:t>(仅限人工专窗)</w:t>
      </w:r>
    </w:p>
    <w:p w14:paraId="00489C21">
      <w:pPr>
        <w:ind w:firstLine="602" w:firstLineChars="200"/>
        <w:rPr>
          <w:rFonts w:hint="eastAsia" w:ascii="方正仿宋_GB2312" w:hAnsi="方正仿宋_GB2312" w:eastAsia="方正仿宋_GB2312" w:cs="方正仿宋_GB2312"/>
          <w:b/>
          <w:bCs/>
          <w:sz w:val="30"/>
          <w:szCs w:val="30"/>
          <w:highlight w:val="none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0"/>
          <w:szCs w:val="30"/>
          <w:highlight w:val="none"/>
          <w:lang w:val="en-US" w:eastAsia="zh-CN"/>
        </w:rPr>
        <w:t>c.</w:t>
      </w:r>
      <w:r>
        <w:rPr>
          <w:rFonts w:hint="eastAsia" w:ascii="方正仿宋_GB2312" w:hAnsi="方正仿宋_GB2312" w:eastAsia="方正仿宋_GB2312" w:cs="方正仿宋_GB2312"/>
          <w:b/>
          <w:bCs/>
          <w:sz w:val="30"/>
          <w:szCs w:val="30"/>
          <w:highlight w:val="none"/>
        </w:rPr>
        <w:t>“优质机制”</w:t>
      </w:r>
    </w:p>
    <w:p w14:paraId="148F3E5B">
      <w:pPr>
        <w:ind w:firstLine="600" w:firstLineChars="200"/>
        <w:rPr>
          <w:rFonts w:hint="eastAsia" w:ascii="方正仿宋_GB2312" w:hAnsi="方正仿宋_GB2312" w:eastAsia="方正仿宋_GB2312" w:cs="方正仿宋_GB2312"/>
          <w:sz w:val="30"/>
          <w:szCs w:val="30"/>
          <w:highlight w:val="none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  <w:highlight w:val="none"/>
        </w:rPr>
        <w:t>门诊:对高龄烈士遗属、1-6级残疾军人等特殊对象提供专人导诊等优质服务</w:t>
      </w:r>
    </w:p>
    <w:p w14:paraId="3F29DDF3">
      <w:pPr>
        <w:ind w:firstLine="600" w:firstLineChars="200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sz w:val="30"/>
          <w:szCs w:val="30"/>
          <w:lang w:val="en-US" w:eastAsia="zh-CN"/>
        </w:rPr>
        <w:t>延展服务：</w:t>
      </w:r>
      <w:r>
        <w:rPr>
          <w:rFonts w:hint="eastAsia" w:ascii="方正仿宋_GB2312" w:hAnsi="方正仿宋_GB2312" w:eastAsia="方正仿宋_GB2312" w:cs="方正仿宋_GB2312"/>
          <w:sz w:val="30"/>
          <w:szCs w:val="30"/>
        </w:rPr>
        <w:t>巡诊义诊、健康讲座、心理咨询、互联网问诊</w:t>
      </w:r>
    </w:p>
    <w:p w14:paraId="556DCD5E">
      <w:pPr>
        <w:ind w:firstLine="420" w:firstLineChars="200"/>
        <w:rPr>
          <w:rFonts w:hint="eastAsia" w:ascii="方正仿宋_GB2312" w:hAnsi="方正仿宋_GB2312" w:eastAsia="方正仿宋_GB2312" w:cs="方正仿宋_GB2312"/>
          <w:sz w:val="30"/>
          <w:szCs w:val="30"/>
        </w:rPr>
      </w:pPr>
      <w:r>
        <w:drawing>
          <wp:inline distT="0" distB="0" distL="114300" distR="114300">
            <wp:extent cx="5019675" cy="2828925"/>
            <wp:effectExtent l="0" t="0" r="952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9EAE1">
      <w:pPr>
        <w:numPr>
          <w:ilvl w:val="0"/>
          <w:numId w:val="0"/>
        </w:numPr>
        <w:ind w:leftChars="200"/>
        <w:rPr>
          <w:rFonts w:hint="eastAsia" w:ascii="方正仿宋_GB2312" w:hAnsi="方正仿宋_GB2312" w:eastAsia="方正仿宋_GB2312" w:cs="方正仿宋_GB2312"/>
          <w:b/>
          <w:bCs/>
          <w:sz w:val="30"/>
          <w:szCs w:val="30"/>
          <w:lang w:val="en-US" w:eastAsia="zh-CN"/>
        </w:rPr>
      </w:pPr>
    </w:p>
    <w:p w14:paraId="0D99A5F8">
      <w:pPr>
        <w:numPr>
          <w:ilvl w:val="0"/>
          <w:numId w:val="1"/>
        </w:numPr>
        <w:ind w:left="0" w:leftChars="0" w:firstLine="600" w:firstLineChars="200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  <w:t>优抚对象就医流程</w:t>
      </w:r>
    </w:p>
    <w:p w14:paraId="30FEC1DF">
      <w:pPr>
        <w:numPr>
          <w:ilvl w:val="0"/>
          <w:numId w:val="0"/>
        </w:numPr>
        <w:ind w:leftChars="200"/>
        <w:rPr>
          <w:rFonts w:hint="eastAsia" w:ascii="方正仿宋_GB2312" w:hAnsi="方正仿宋_GB2312" w:eastAsia="方正仿宋_GB2312" w:cs="方正仿宋_GB2312"/>
          <w:b/>
          <w:bCs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271135" cy="4140200"/>
            <wp:effectExtent l="0" t="0" r="1206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C604D">
      <w:pPr>
        <w:numPr>
          <w:ilvl w:val="0"/>
          <w:numId w:val="0"/>
        </w:numPr>
        <w:ind w:leftChars="200"/>
      </w:pPr>
    </w:p>
    <w:p w14:paraId="685BC3FE">
      <w:pPr>
        <w:numPr>
          <w:ilvl w:val="0"/>
          <w:numId w:val="0"/>
        </w:numPr>
        <w:ind w:leftChars="200"/>
      </w:pPr>
    </w:p>
    <w:p w14:paraId="252DDAA5"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4057650" cy="1876425"/>
            <wp:effectExtent l="0" t="0" r="635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ACCDE">
      <w:pPr>
        <w:numPr>
          <w:ilvl w:val="0"/>
          <w:numId w:val="1"/>
        </w:numPr>
        <w:ind w:left="0" w:leftChars="0" w:firstLine="600" w:firstLineChars="200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  <w:t>就医交通</w:t>
      </w:r>
    </w:p>
    <w:p w14:paraId="3721DA34">
      <w:pPr>
        <w:ind w:firstLine="602" w:firstLineChars="200"/>
        <w:rPr>
          <w:rFonts w:hint="eastAsia" w:ascii="方正仿宋_GB2312" w:hAnsi="方正仿宋_GB2312" w:eastAsia="方正仿宋_GB2312" w:cs="方正仿宋_GB2312"/>
          <w:sz w:val="30"/>
          <w:szCs w:val="30"/>
          <w:highlight w:val="none"/>
        </w:rPr>
      </w:pPr>
      <w:r>
        <w:rPr>
          <w:rFonts w:hint="default" w:ascii="方正仿宋_GB2312" w:hAnsi="方正仿宋_GB2312" w:eastAsia="方正仿宋_GB2312" w:cs="方正仿宋_GB2312"/>
          <w:b/>
          <w:bCs/>
          <w:sz w:val="30"/>
          <w:szCs w:val="30"/>
          <w:highlight w:val="none"/>
          <w:lang w:val="en-US" w:eastAsia="zh-CN"/>
        </w:rPr>
        <w:t>医院北部地址：</w:t>
      </w:r>
      <w:r>
        <w:rPr>
          <w:rFonts w:hint="default" w:ascii="方正仿宋_GB2312" w:hAnsi="方正仿宋_GB2312" w:eastAsia="方正仿宋_GB2312" w:cs="方正仿宋_GB2312"/>
          <w:sz w:val="30"/>
          <w:szCs w:val="30"/>
          <w:highlight w:val="none"/>
          <w:lang w:val="en-US" w:eastAsia="zh-CN"/>
        </w:rPr>
        <w:t>上海市虹口区武进路85/86号  电话总机：021-63240090</w:t>
      </w:r>
    </w:p>
    <w:p w14:paraId="4C416314">
      <w:pPr>
        <w:ind w:firstLine="602" w:firstLineChars="200"/>
        <w:rPr>
          <w:rFonts w:hint="default" w:ascii="方正仿宋_GB2312" w:hAnsi="方正仿宋_GB2312" w:eastAsia="方正仿宋_GB2312" w:cs="方正仿宋_GB2312"/>
          <w:sz w:val="30"/>
          <w:szCs w:val="30"/>
          <w:highlight w:val="none"/>
          <w:lang w:val="en-US" w:eastAsia="zh-CN"/>
        </w:rPr>
      </w:pPr>
      <w:r>
        <w:rPr>
          <w:rFonts w:hint="default" w:ascii="方正仿宋_GB2312" w:hAnsi="方正仿宋_GB2312" w:eastAsia="方正仿宋_GB2312" w:cs="方正仿宋_GB2312"/>
          <w:b/>
          <w:bCs/>
          <w:sz w:val="30"/>
          <w:szCs w:val="30"/>
          <w:highlight w:val="none"/>
          <w:lang w:val="en-US" w:eastAsia="zh-CN"/>
        </w:rPr>
        <w:t>公交直达线路：</w:t>
      </w:r>
      <w:r>
        <w:rPr>
          <w:rFonts w:hint="default" w:ascii="方正仿宋_GB2312" w:hAnsi="方正仿宋_GB2312" w:eastAsia="方正仿宋_GB2312" w:cs="方正仿宋_GB2312"/>
          <w:sz w:val="30"/>
          <w:szCs w:val="30"/>
          <w:highlight w:val="none"/>
          <w:lang w:val="en-US" w:eastAsia="zh-CN"/>
        </w:rPr>
        <w:t>13、63、921、17、910、6、61、55、14、147、123、100、576、21、22、145、轨道交通4号线</w:t>
      </w:r>
    </w:p>
    <w:p w14:paraId="4D448F04">
      <w:pPr>
        <w:ind w:firstLine="600" w:firstLineChars="200"/>
        <w:rPr>
          <w:rFonts w:hint="default" w:ascii="方正仿宋_GB2312" w:hAnsi="方正仿宋_GB2312" w:eastAsia="方正仿宋_GB2312" w:cs="方正仿宋_GB2312"/>
          <w:sz w:val="30"/>
          <w:szCs w:val="30"/>
          <w:highlight w:val="none"/>
          <w:lang w:val="en-US" w:eastAsia="zh-CN"/>
        </w:rPr>
      </w:pPr>
      <w:r>
        <w:rPr>
          <w:rFonts w:hint="default" w:ascii="方正仿宋_GB2312" w:hAnsi="方正仿宋_GB2312" w:eastAsia="方正仿宋_GB2312" w:cs="方正仿宋_GB2312"/>
          <w:sz w:val="30"/>
          <w:szCs w:val="30"/>
          <w:highlight w:val="none"/>
          <w:lang w:val="en-US" w:eastAsia="zh-CN"/>
        </w:rPr>
        <w:t xml:space="preserve">   </w:t>
      </w:r>
    </w:p>
    <w:p w14:paraId="086BE90A">
      <w:pPr>
        <w:keepNext w:val="0"/>
        <w:keepLines w:val="0"/>
        <w:widowControl/>
        <w:suppressLineNumbers w:val="0"/>
        <w:jc w:val="left"/>
      </w:pPr>
      <w:r>
        <w:rPr>
          <w:rFonts w:ascii="-webkit-standard" w:hAnsi="-webkit-standard" w:eastAsia="-webkit-standard" w:cs="-webkit-standard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3284220" cy="3367405"/>
            <wp:effectExtent l="0" t="0" r="5080" b="1079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3367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36652B">
      <w:pPr>
        <w:ind w:firstLine="602" w:firstLineChars="200"/>
        <w:rPr>
          <w:rFonts w:hint="default" w:ascii="方正仿宋_GB2312" w:hAnsi="方正仿宋_GB2312" w:eastAsia="方正仿宋_GB2312" w:cs="方正仿宋_GB2312"/>
          <w:sz w:val="30"/>
          <w:szCs w:val="30"/>
          <w:highlight w:val="none"/>
        </w:rPr>
      </w:pPr>
      <w:r>
        <w:rPr>
          <w:rFonts w:hint="default" w:ascii="方正仿宋_GB2312" w:hAnsi="方正仿宋_GB2312" w:eastAsia="方正仿宋_GB2312" w:cs="方正仿宋_GB2312"/>
          <w:b/>
          <w:bCs/>
          <w:sz w:val="30"/>
          <w:szCs w:val="30"/>
          <w:highlight w:val="none"/>
          <w:lang w:val="en-US" w:eastAsia="zh-CN"/>
        </w:rPr>
        <w:t>医院南部地址：</w:t>
      </w:r>
      <w:r>
        <w:rPr>
          <w:rFonts w:hint="default" w:ascii="方正仿宋_GB2312" w:hAnsi="方正仿宋_GB2312" w:eastAsia="方正仿宋_GB2312" w:cs="方正仿宋_GB2312"/>
          <w:sz w:val="30"/>
          <w:szCs w:val="30"/>
          <w:highlight w:val="none"/>
          <w:lang w:val="en-US" w:eastAsia="zh-CN"/>
        </w:rPr>
        <w:t>上海市新松江路650号　  电话总机：021-63240090</w:t>
      </w:r>
    </w:p>
    <w:p w14:paraId="7026506B">
      <w:pPr>
        <w:ind w:firstLine="600" w:firstLineChars="200"/>
        <w:rPr>
          <w:rFonts w:hint="default" w:ascii="方正仿宋_GB2312" w:hAnsi="方正仿宋_GB2312" w:eastAsia="方正仿宋_GB2312" w:cs="方正仿宋_GB2312"/>
          <w:sz w:val="30"/>
          <w:szCs w:val="30"/>
          <w:highlight w:val="none"/>
          <w:lang w:val="en-US" w:eastAsia="zh-CN"/>
        </w:rPr>
      </w:pPr>
      <w:r>
        <w:rPr>
          <w:rFonts w:hint="default" w:ascii="方正仿宋_GB2312" w:hAnsi="方正仿宋_GB2312" w:eastAsia="方正仿宋_GB2312" w:cs="方正仿宋_GB2312"/>
          <w:sz w:val="30"/>
          <w:szCs w:val="30"/>
          <w:highlight w:val="none"/>
          <w:lang w:val="en-US" w:eastAsia="zh-CN"/>
        </w:rPr>
        <w:t>公交直达线路：松莘线、松昆线、松江9路、松江11路、地铁9号线</w:t>
      </w:r>
    </w:p>
    <w:p w14:paraId="0E55159D">
      <w:pPr>
        <w:keepNext w:val="0"/>
        <w:keepLines w:val="0"/>
        <w:widowControl/>
        <w:suppressLineNumbers w:val="0"/>
        <w:jc w:val="left"/>
      </w:pPr>
      <w:r>
        <w:rPr>
          <w:rFonts w:ascii="-webkit-standard" w:hAnsi="-webkit-standard" w:eastAsia="-webkit-standard" w:cs="-webkit-standard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drawing>
          <wp:inline distT="0" distB="0" distL="114300" distR="114300">
            <wp:extent cx="3996055" cy="4271010"/>
            <wp:effectExtent l="0" t="0" r="4445" b="889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96055" cy="4271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E88D34">
      <w:pPr>
        <w:ind w:firstLine="600" w:firstLineChars="200"/>
        <w:rPr>
          <w:rFonts w:hint="default" w:ascii="方正仿宋_GB2312" w:hAnsi="方正仿宋_GB2312" w:eastAsia="方正仿宋_GB2312" w:cs="方正仿宋_GB2312"/>
          <w:sz w:val="30"/>
          <w:szCs w:val="30"/>
          <w:lang w:val="en-US" w:eastAsia="zh-CN"/>
        </w:rPr>
      </w:pPr>
    </w:p>
    <w:p w14:paraId="78526F42">
      <w:pPr>
        <w:ind w:firstLine="600" w:firstLineChars="200"/>
        <w:rPr>
          <w:rFonts w:hint="eastAsia" w:ascii="方正仿宋_GB2312" w:hAnsi="方正仿宋_GB2312" w:eastAsia="方正仿宋_GB2312" w:cs="方正仿宋_GB2312"/>
          <w:sz w:val="30"/>
          <w:szCs w:val="30"/>
        </w:rPr>
      </w:pPr>
    </w:p>
    <w:p w14:paraId="2F125EE5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2312">
    <w:altName w:val="方正仿宋_GBK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-webkit-standar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B34BD8"/>
    <w:multiLevelType w:val="singleLevel"/>
    <w:tmpl w:val="03B34BD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Y4N2M5MGIzYjRjZDc4MjVkNWFmNmUwMjE5ZTg1NjQifQ=="/>
  </w:docVars>
  <w:rsids>
    <w:rsidRoot w:val="2CBA706D"/>
    <w:rsid w:val="2CBA706D"/>
    <w:rsid w:val="366F4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2024-11-04T02:42:00Z</dcterms:created>
  <dc:creator>WPS_1717489222</dc:creator>
  <cp:lastModifiedBy>WPS_1717489222</cp:lastModifiedBy>
  <dcterms:modified xsi:type="dcterms:W3CDTF">2024-11-04T02:42:52Z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E139CBC3EAE845448464E83DF313269D_11</vt:lpwstr>
  </property>
</Properties>
</file>